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82" w:rsidRPr="00A31F82" w:rsidRDefault="00A31F82" w:rsidP="00A31F82">
      <w:pPr>
        <w:shd w:val="clear" w:color="auto" w:fill="FFFFFF"/>
        <w:spacing w:after="101" w:line="240" w:lineRule="auto"/>
        <w:outlineLvl w:val="0"/>
        <w:rPr>
          <w:rFonts w:ascii="Arial" w:eastAsia="Times New Roman" w:hAnsi="Arial" w:cs="Arial"/>
          <w:color w:val="000000"/>
          <w:kern w:val="36"/>
          <w:sz w:val="23"/>
          <w:szCs w:val="23"/>
        </w:rPr>
      </w:pPr>
      <w:r w:rsidRPr="00A31F82">
        <w:rPr>
          <w:rFonts w:ascii="Arial" w:eastAsia="Times New Roman" w:hAnsi="Arial" w:cs="Arial"/>
          <w:b/>
          <w:bCs/>
          <w:color w:val="000000"/>
          <w:kern w:val="36"/>
          <w:sz w:val="23"/>
        </w:rPr>
        <w:t>Thông tin tuyển sinh Đại học Kinh tế - ĐH Quốc gia Hà Nội 2017</w:t>
      </w:r>
    </w:p>
    <w:p w:rsidR="00A31F82" w:rsidRPr="00A31F82" w:rsidRDefault="00A31F82" w:rsidP="00A31F82">
      <w:pPr>
        <w:shd w:val="clear" w:color="auto" w:fill="FFFFFF"/>
        <w:spacing w:after="126" w:line="240" w:lineRule="auto"/>
        <w:rPr>
          <w:rFonts w:ascii="Arial" w:eastAsia="Times New Roman" w:hAnsi="Arial" w:cs="Arial"/>
          <w:color w:val="666666"/>
          <w:sz w:val="16"/>
          <w:szCs w:val="16"/>
        </w:rPr>
      </w:pPr>
      <w:r w:rsidRPr="00A31F82">
        <w:rPr>
          <w:rFonts w:ascii="Arial" w:eastAsia="Times New Roman" w:hAnsi="Arial" w:cs="Arial"/>
          <w:i/>
          <w:iCs/>
          <w:color w:val="666666"/>
          <w:sz w:val="16"/>
        </w:rPr>
        <w:t>30/03/2017 16:40 pm</w:t>
      </w:r>
    </w:p>
    <w:p w:rsidR="00A31F82" w:rsidRPr="00A31F82" w:rsidRDefault="00A31F82" w:rsidP="00A31F82">
      <w:pPr>
        <w:shd w:val="clear" w:color="auto" w:fill="FFFFFF"/>
        <w:spacing w:after="180" w:line="291" w:lineRule="atLeast"/>
        <w:outlineLvl w:val="1"/>
        <w:rPr>
          <w:rFonts w:ascii="Tahoma" w:eastAsia="Times New Roman" w:hAnsi="Tahoma" w:cs="Tahoma"/>
          <w:b/>
          <w:bCs/>
          <w:color w:val="666666"/>
          <w:sz w:val="27"/>
          <w:szCs w:val="27"/>
        </w:rPr>
      </w:pPr>
      <w:r w:rsidRPr="00A31F82">
        <w:rPr>
          <w:rFonts w:ascii="Tahoma" w:eastAsia="Times New Roman" w:hAnsi="Tahoma" w:cs="Tahoma"/>
          <w:b/>
          <w:bCs/>
          <w:color w:val="666666"/>
          <w:sz w:val="27"/>
          <w:szCs w:val="27"/>
        </w:rPr>
        <w:t>Năm 2017, Trường Đại học Kinh tế - ĐHQGHN 6 ngành với 9 chương trình đào tạo (6 chương trình đào tạo chuẩn, 3 chương trình đào tạo chất lượng cao đáp ứng Thông tư 23 của Bộ Giáo dục và Đào tạo).</w:t>
      </w:r>
    </w:p>
    <w:tbl>
      <w:tblPr>
        <w:tblW w:w="5000" w:type="pct"/>
        <w:tblCellSpacing w:w="0" w:type="dxa"/>
        <w:shd w:val="clear" w:color="auto" w:fill="FFFFFF"/>
        <w:tblCellMar>
          <w:left w:w="0" w:type="dxa"/>
          <w:right w:w="0" w:type="dxa"/>
        </w:tblCellMar>
        <w:tblLook w:val="04A0"/>
      </w:tblPr>
      <w:tblGrid>
        <w:gridCol w:w="9486"/>
      </w:tblGrid>
      <w:tr w:rsidR="00A31F82" w:rsidRPr="00A31F82" w:rsidTr="00A31F82">
        <w:trPr>
          <w:tblCellSpacing w:w="0" w:type="dxa"/>
        </w:trPr>
        <w:tc>
          <w:tcPr>
            <w:tcW w:w="0" w:type="auto"/>
            <w:shd w:val="clear" w:color="auto" w:fill="FFFFFF"/>
            <w:tcMar>
              <w:top w:w="63" w:type="dxa"/>
              <w:left w:w="63" w:type="dxa"/>
              <w:bottom w:w="63" w:type="dxa"/>
              <w:right w:w="63" w:type="dxa"/>
            </w:tcMar>
            <w:hideMark/>
          </w:tcPr>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1.Đối tượng tuyển sinh</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thành chương trình giáo dục THPT không trong thời gian bị kỷ luật theo Quy chế tuyển sinh của Bộ Giáo dục và Đào tạo (GD&amp;ĐT).</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2. Phạm vi tuyển sinh</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Trường ĐH Kinh tế tuyển sinh tất cả các thí sinh trên phạm vi cả nước.</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3. Chính sách ưu tiên trong tuyển sinh</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Xét tuyển thẳng những thí sinh là học sinh các lớp chuyên của Trường THPT chuyên Khoa học Tự nhiên và Trường THPT chuyên Ngoại ngữ thuộc ĐHQGHN đã tốt nghiệp THPT và đạt giải chính thức trong kỳ thi chọn học sinh giỏi bậc THPT cấp ĐHQGHN; thí sinh đạt danh hiệu học sinh giỏi, có hạnh kiểm tốt từng năm học trong cả 3 năm học THPT và có tổng điểm 4 môn thi tốt nghiệp THPT đạt tối thiểu 32,0 điểm trong đó không có điểm môn nào dưới 6,0 điểm</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Ưu tiên xét tuyển: Thí sinh đoạt giải trong kỳ thi chọn học sinh giỏi quốc gia các môn Toán học, Vật Lý, Hóa học, Tin học, Tiếng Anh và đã tốt nghiệp THPT, có kết quả thi đạt ngưỡng đảm bảo chất lượng đầu vào do ĐHQGHN quy định.</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Xét tuyển thẳng thí sinh thuộc các huyện nghèo và dân tộc rất ít người, thí sinh dự bị dân tộc, thí sinh là người khuyết tật theo Quy chế tuyển sinh của Bộ Giáo dục và Đào tạo vào ngành Kinh tế và Kinh tế phát triển.</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Điều kiện: Thí sinh đạt học lực các năm học lớp 10, 11 và 12 loại giỏi</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Ưu tiên theo khu vực, đối tượng: thực hiện theo Quy chế tuyển sinh.</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4. Phương thức tuyển sinh</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i/>
                <w:iCs/>
                <w:color w:val="000000"/>
                <w:sz w:val="27"/>
              </w:rPr>
              <w:t>- Đợt 1:</w:t>
            </w:r>
            <w:r w:rsidRPr="00A31F82">
              <w:rPr>
                <w:rFonts w:ascii="Tahoma" w:eastAsia="Times New Roman" w:hAnsi="Tahoma" w:cs="Tahoma"/>
                <w:color w:val="000000"/>
                <w:sz w:val="27"/>
              </w:rPr>
              <w:t> </w:t>
            </w:r>
            <w:r w:rsidRPr="00A31F82">
              <w:rPr>
                <w:rFonts w:ascii="Tahoma" w:eastAsia="Times New Roman" w:hAnsi="Tahoma" w:cs="Tahoma"/>
                <w:color w:val="000000"/>
                <w:sz w:val="27"/>
                <w:szCs w:val="27"/>
              </w:rPr>
              <w:t xml:space="preserve">Xét tuyển theo kết quả thi THPT quốc gia theo tổ hợp các môn/bài </w:t>
            </w:r>
            <w:r w:rsidRPr="00A31F82">
              <w:rPr>
                <w:rFonts w:ascii="Tahoma" w:eastAsia="Times New Roman" w:hAnsi="Tahoma" w:cs="Tahoma"/>
                <w:color w:val="000000"/>
                <w:sz w:val="27"/>
                <w:szCs w:val="27"/>
              </w:rPr>
              <w:lastRenderedPageBreak/>
              <w:t>thi tương ứng; kết quả thi đánh giá năng lực (ĐGNL) còn hạn sử dụng do ĐHQGHN tổ chức; chứng chỉ quốc tế của Trung tâm Khảo thí ĐH Cambridge, Anh (Cambridge International Examinations A-Level, UK; sau đây gọi tắt là chứng chỉ A-Level).</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Thời gian xét tuyển</w:t>
            </w:r>
            <w:r w:rsidRPr="00A31F82">
              <w:rPr>
                <w:rFonts w:ascii="Tahoma" w:eastAsia="Times New Roman" w:hAnsi="Tahoma" w:cs="Tahoma"/>
                <w:color w:val="000000"/>
                <w:sz w:val="27"/>
              </w:rPr>
              <w:t> </w:t>
            </w:r>
            <w:r w:rsidRPr="00A31F82">
              <w:rPr>
                <w:rFonts w:ascii="Tahoma" w:eastAsia="Times New Roman" w:hAnsi="Tahoma" w:cs="Tahoma"/>
                <w:i/>
                <w:iCs/>
                <w:color w:val="000000"/>
                <w:sz w:val="27"/>
              </w:rPr>
              <w:t>(dự kiến)</w:t>
            </w:r>
            <w:r w:rsidRPr="00A31F82">
              <w:rPr>
                <w:rFonts w:ascii="Tahoma" w:eastAsia="Times New Roman" w:hAnsi="Tahoma" w:cs="Tahoma"/>
                <w:color w:val="000000"/>
                <w:sz w:val="27"/>
              </w:rPr>
              <w:t> </w:t>
            </w:r>
            <w:r w:rsidRPr="00A31F82">
              <w:rPr>
                <w:rFonts w:ascii="Tahoma" w:eastAsia="Times New Roman" w:hAnsi="Tahoma" w:cs="Tahoma"/>
                <w:color w:val="000000"/>
                <w:sz w:val="27"/>
                <w:szCs w:val="27"/>
              </w:rPr>
              <w:t>từ 17/7-31/08/2017</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i/>
                <w:iCs/>
                <w:color w:val="000000"/>
                <w:sz w:val="27"/>
              </w:rPr>
              <w:t>- Đợt bổ sung:</w:t>
            </w:r>
            <w:r w:rsidRPr="00A31F82">
              <w:rPr>
                <w:rFonts w:ascii="Tahoma" w:eastAsia="Times New Roman" w:hAnsi="Tahoma" w:cs="Tahoma"/>
                <w:color w:val="000000"/>
                <w:sz w:val="27"/>
              </w:rPr>
              <w:t> </w:t>
            </w:r>
            <w:r w:rsidRPr="00A31F82">
              <w:rPr>
                <w:rFonts w:ascii="Tahoma" w:eastAsia="Times New Roman" w:hAnsi="Tahoma" w:cs="Tahoma"/>
                <w:color w:val="000000"/>
                <w:sz w:val="27"/>
                <w:szCs w:val="27"/>
              </w:rPr>
              <w:t>Xét tuyển như Đợt 1, Quy định cụ thể xét tuyển của từng ngành học tương ứng sẽ được công bố trên website của ĐHQGHN và của các đơn vị đào tạo</w:t>
            </w:r>
            <w:r w:rsidRPr="00A31F82">
              <w:rPr>
                <w:rFonts w:ascii="Tahoma" w:eastAsia="Times New Roman" w:hAnsi="Tahoma" w:cs="Tahoma"/>
                <w:color w:val="000000"/>
                <w:sz w:val="27"/>
              </w:rPr>
              <w:t> </w:t>
            </w:r>
            <w:r w:rsidRPr="00A31F82">
              <w:rPr>
                <w:rFonts w:ascii="Tahoma" w:eastAsia="Times New Roman" w:hAnsi="Tahoma" w:cs="Tahoma"/>
                <w:i/>
                <w:iCs/>
                <w:color w:val="000000"/>
                <w:sz w:val="27"/>
              </w:rPr>
              <w:t>(nếu có)</w:t>
            </w:r>
            <w:r w:rsidRPr="00A31F82">
              <w:rPr>
                <w:rFonts w:ascii="Tahoma" w:eastAsia="Times New Roman" w:hAnsi="Tahoma" w:cs="Tahoma"/>
                <w:color w:val="000000"/>
                <w:sz w:val="27"/>
                <w:szCs w:val="27"/>
              </w:rPr>
              <w:t>. Thời gian xét tuyển</w:t>
            </w:r>
            <w:r w:rsidRPr="00A31F82">
              <w:rPr>
                <w:rFonts w:ascii="Tahoma" w:eastAsia="Times New Roman" w:hAnsi="Tahoma" w:cs="Tahoma"/>
                <w:color w:val="000000"/>
                <w:sz w:val="27"/>
              </w:rPr>
              <w:t> </w:t>
            </w:r>
            <w:r w:rsidRPr="00A31F82">
              <w:rPr>
                <w:rFonts w:ascii="Tahoma" w:eastAsia="Times New Roman" w:hAnsi="Tahoma" w:cs="Tahoma"/>
                <w:i/>
                <w:iCs/>
                <w:color w:val="000000"/>
                <w:sz w:val="27"/>
              </w:rPr>
              <w:t>(dự kiến)</w:t>
            </w:r>
            <w:r w:rsidRPr="00A31F82">
              <w:rPr>
                <w:rFonts w:ascii="Tahoma" w:eastAsia="Times New Roman" w:hAnsi="Tahoma" w:cs="Tahoma"/>
                <w:color w:val="000000"/>
                <w:sz w:val="27"/>
              </w:rPr>
              <w:t> </w:t>
            </w:r>
            <w:r w:rsidRPr="00A31F82">
              <w:rPr>
                <w:rFonts w:ascii="Tahoma" w:eastAsia="Times New Roman" w:hAnsi="Tahoma" w:cs="Tahoma"/>
                <w:color w:val="000000"/>
                <w:sz w:val="27"/>
                <w:szCs w:val="27"/>
              </w:rPr>
              <w:t>trước 13/8/2017.</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5. Các ngành và chương trình đào tạo tuyển sinh năm 2017, mã trường QHE</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3289"/>
              <w:gridCol w:w="879"/>
              <w:gridCol w:w="2246"/>
              <w:gridCol w:w="1115"/>
            </w:tblGrid>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STT</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Ngành</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Chỉ tiêu</w:t>
                  </w:r>
                </w:p>
              </w:tc>
              <w:tc>
                <w:tcPr>
                  <w:tcW w:w="258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Tổ hợp môn</w:t>
                  </w:r>
                </w:p>
              </w:tc>
              <w:tc>
                <w:tcPr>
                  <w:tcW w:w="12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Mã tổ hợp</w:t>
                  </w: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I</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Chương trình đào tạo chuẩn</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 </w:t>
                  </w:r>
                </w:p>
              </w:tc>
              <w:tc>
                <w:tcPr>
                  <w:tcW w:w="258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w:t>
                  </w: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1</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Kinh tế</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80</w:t>
                  </w:r>
                </w:p>
              </w:tc>
              <w:tc>
                <w:tcPr>
                  <w:tcW w:w="258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Toán, Lý, Hóa</w:t>
                  </w:r>
                </w:p>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Toán, Lý, Anh</w:t>
                  </w:r>
                </w:p>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Toán, Văn, Anh</w:t>
                  </w:r>
                </w:p>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Toán, Văn, KHXH</w:t>
                  </w:r>
                </w:p>
              </w:tc>
              <w:tc>
                <w:tcPr>
                  <w:tcW w:w="12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A00</w:t>
                  </w:r>
                </w:p>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A01</w:t>
                  </w:r>
                </w:p>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D01</w:t>
                  </w:r>
                </w:p>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C15</w:t>
                  </w: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2</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Kinh tế phát triển</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3</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Kinh tế quốc tế</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4</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Quản trị kinh doanh</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5</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Tài chính-Ngân hàng</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6</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Kế toán</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II</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b/>
                      <w:bCs/>
                      <w:sz w:val="24"/>
                      <w:szCs w:val="24"/>
                    </w:rPr>
                    <w:t>Chương trình đào tạo chất lượng cao đápứng Thông tư 23 của Bộ GD&amp;ĐT</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w:t>
                  </w:r>
                </w:p>
              </w:tc>
              <w:tc>
                <w:tcPr>
                  <w:tcW w:w="258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w:t>
                  </w:r>
                </w:p>
              </w:tc>
              <w:tc>
                <w:tcPr>
                  <w:tcW w:w="12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w:t>
                  </w: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1</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Kinh tế quốc tế</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70</w:t>
                  </w:r>
                </w:p>
              </w:tc>
              <w:tc>
                <w:tcPr>
                  <w:tcW w:w="258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Toán, Anh, KHTN</w:t>
                  </w:r>
                </w:p>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 Toán, Anh, KHXH</w:t>
                  </w:r>
                </w:p>
              </w:tc>
              <w:tc>
                <w:tcPr>
                  <w:tcW w:w="12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D90</w:t>
                  </w:r>
                </w:p>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D96</w:t>
                  </w: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2</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Quản trị kinh doanh</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r w:rsidR="00A31F82" w:rsidRPr="00A31F82">
              <w:trPr>
                <w:tblCellSpacing w:w="0" w:type="dxa"/>
              </w:trPr>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3</w:t>
                  </w:r>
                </w:p>
              </w:tc>
              <w:tc>
                <w:tcPr>
                  <w:tcW w:w="382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Tài chính-Ngân hàng</w:t>
                  </w:r>
                </w:p>
              </w:tc>
              <w:tc>
                <w:tcPr>
                  <w:tcW w:w="96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31F82" w:rsidRPr="00A31F82" w:rsidRDefault="00A31F82" w:rsidP="00A31F82">
                  <w:pPr>
                    <w:spacing w:after="126" w:line="291" w:lineRule="atLeast"/>
                    <w:jc w:val="center"/>
                    <w:rPr>
                      <w:rFonts w:ascii="Times New Roman" w:eastAsia="Times New Roman" w:hAnsi="Times New Roman" w:cs="Times New Roman"/>
                      <w:sz w:val="24"/>
                      <w:szCs w:val="24"/>
                    </w:rPr>
                  </w:pPr>
                  <w:r w:rsidRPr="00A31F82">
                    <w:rPr>
                      <w:rFonts w:ascii="Times New Roman" w:eastAsia="Times New Roman" w:hAnsi="Times New Roman" w:cs="Times New Roman"/>
                      <w:sz w:val="24"/>
                      <w:szCs w:val="24"/>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1F82" w:rsidRPr="00A31F82" w:rsidRDefault="00A31F82" w:rsidP="00A31F82">
                  <w:pPr>
                    <w:spacing w:line="240" w:lineRule="auto"/>
                    <w:rPr>
                      <w:rFonts w:ascii="Times New Roman" w:eastAsia="Times New Roman" w:hAnsi="Times New Roman" w:cs="Times New Roman"/>
                      <w:sz w:val="24"/>
                      <w:szCs w:val="24"/>
                    </w:rPr>
                  </w:pPr>
                </w:p>
              </w:tc>
            </w:tr>
          </w:tbl>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 </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lastRenderedPageBreak/>
              <w:t>6. Đào tạo cùng lúc hai chương trình đào tạo (bằng kép)</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Sau khi học hết năm thứ nhất, sinh viên chính quy các CTĐT chuẩn có cơ hội học thêm một ngành thứ hai là một trong các ngành sau:</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Ngành Ngôn ngữ Anh của Trường ĐH Ngoại ngữ - ĐHQGHN; ngành Luật của Khoa Luật-ĐHQGHN.</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 Đối với sinh viên ngành Kinh tế, Kinh tế phát triển còn có cơ hội học thêm ngành Tài chính- Ngân hàng hoặc Kinh tế quốc tế của trường.</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rPr>
              <w:t>7. Chương trình đào tạo liên kết quốc tế</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TrườngĐại học Kinh tế tuyển80 sinh viên chương trình liên kết quốc tế ngành Quản trị kinh doanh do Đại học Troy Hoa Kỳ cấp bằng với tổ hợp môn Toán, Văn, Anh (D01); Toán, Hóa, Anh (D07); Toán, Sinh, Anh (D08).</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b/>
                <w:bCs/>
                <w:color w:val="000000"/>
                <w:sz w:val="27"/>
                <w:u w:val="single"/>
              </w:rPr>
              <w:t>Địa chỉ liên hệ:</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TrườngĐại học Kinh tế - Đại học Quốc gia Hà Nội</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Nhà E4, 144 Xuân Thủy, Cầu Giấy, Hà Nội</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Điện thoại: 04.3754.7506 (305, 315, 325)</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Hotline: 0913.486.773</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Email: tuyensinhdaihoc_dhkt@vnu.edu.vn</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Website: www.ueb.vnu.edu</w:t>
            </w:r>
          </w:p>
          <w:p w:rsidR="00A31F82" w:rsidRPr="00A31F82" w:rsidRDefault="00A31F82" w:rsidP="00A31F82">
            <w:pPr>
              <w:spacing w:after="126" w:line="291" w:lineRule="atLeast"/>
              <w:jc w:val="both"/>
              <w:rPr>
                <w:rFonts w:ascii="Tahoma" w:eastAsia="Times New Roman" w:hAnsi="Tahoma" w:cs="Tahoma"/>
                <w:color w:val="000000"/>
                <w:sz w:val="27"/>
                <w:szCs w:val="27"/>
              </w:rPr>
            </w:pPr>
            <w:r w:rsidRPr="00A31F82">
              <w:rPr>
                <w:rFonts w:ascii="Tahoma" w:eastAsia="Times New Roman" w:hAnsi="Tahoma" w:cs="Tahoma"/>
                <w:color w:val="000000"/>
                <w:sz w:val="27"/>
                <w:szCs w:val="27"/>
              </w:rPr>
              <w:t>Facebook: www.facebook.com/ueb.edu.vn</w:t>
            </w: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A31F82"/>
    <w:rsid w:val="00A31F82"/>
    <w:rsid w:val="00B11C56"/>
    <w:rsid w:val="00E82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A31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1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F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1F82"/>
    <w:rPr>
      <w:rFonts w:ascii="Times New Roman" w:eastAsia="Times New Roman" w:hAnsi="Times New Roman" w:cs="Times New Roman"/>
      <w:b/>
      <w:bCs/>
      <w:sz w:val="36"/>
      <w:szCs w:val="36"/>
    </w:rPr>
  </w:style>
  <w:style w:type="character" w:styleId="Strong">
    <w:name w:val="Strong"/>
    <w:basedOn w:val="DefaultParagraphFont"/>
    <w:uiPriority w:val="22"/>
    <w:qFormat/>
    <w:rsid w:val="00A31F82"/>
    <w:rPr>
      <w:b/>
      <w:bCs/>
    </w:rPr>
  </w:style>
  <w:style w:type="paragraph" w:styleId="NormalWeb">
    <w:name w:val="Normal (Web)"/>
    <w:basedOn w:val="Normal"/>
    <w:uiPriority w:val="99"/>
    <w:unhideWhenUsed/>
    <w:rsid w:val="00A31F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F82"/>
    <w:rPr>
      <w:i/>
      <w:iCs/>
    </w:rPr>
  </w:style>
  <w:style w:type="character" w:customStyle="1" w:styleId="postdate">
    <w:name w:val="postdate"/>
    <w:basedOn w:val="DefaultParagraphFont"/>
    <w:rsid w:val="00A31F82"/>
  </w:style>
  <w:style w:type="character" w:customStyle="1" w:styleId="apple-converted-space">
    <w:name w:val="apple-converted-space"/>
    <w:basedOn w:val="DefaultParagraphFont"/>
    <w:rsid w:val="00A31F82"/>
  </w:style>
</w:styles>
</file>

<file path=word/webSettings.xml><?xml version="1.0" encoding="utf-8"?>
<w:webSettings xmlns:r="http://schemas.openxmlformats.org/officeDocument/2006/relationships" xmlns:w="http://schemas.openxmlformats.org/wordprocessingml/2006/main">
  <w:divs>
    <w:div w:id="19510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2017-05-06T07:39:00Z</dcterms:created>
  <dcterms:modified xsi:type="dcterms:W3CDTF">2017-05-06T07:39:00Z</dcterms:modified>
</cp:coreProperties>
</file>